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A2F" w:rsidRDefault="00BC0A53" w:rsidP="00471F59">
      <w:pPr>
        <w:jc w:val="center"/>
      </w:pPr>
      <w:r w:rsidRPr="00BC0A5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25.15pt;margin-top:-32.6pt;width:86.45pt;height:26.35pt;z-index:251660288;mso-width-relative:margin;mso-height-relative:margin" stroked="f">
            <v:textbox>
              <w:txbxContent>
                <w:p w:rsidR="00FD5FD1" w:rsidRPr="00FD5FD1" w:rsidRDefault="00FD5FD1">
                  <w:pPr>
                    <w:rPr>
                      <w:sz w:val="28"/>
                      <w:szCs w:val="28"/>
                      <w:lang w:val="ru-RU"/>
                    </w:rPr>
                  </w:pPr>
                  <w:proofErr w:type="spellStart"/>
                  <w:r w:rsidRPr="00FD5FD1">
                    <w:rPr>
                      <w:sz w:val="28"/>
                      <w:szCs w:val="28"/>
                      <w:lang w:val="ru-RU"/>
                    </w:rPr>
                    <w:t>Діаграма</w:t>
                  </w:r>
                  <w:proofErr w:type="spellEnd"/>
                  <w:r w:rsidRPr="00FD5FD1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  <w:r w:rsidR="00B52F0F">
                    <w:rPr>
                      <w:sz w:val="28"/>
                      <w:szCs w:val="28"/>
                      <w:lang w:val="ru-RU"/>
                    </w:rPr>
                    <w:t>2</w:t>
                  </w:r>
                </w:p>
              </w:txbxContent>
            </v:textbox>
          </v:shape>
        </w:pict>
      </w:r>
      <w:r w:rsidR="00302987" w:rsidRPr="00302987">
        <w:rPr>
          <w:noProof/>
          <w:lang w:val="ru-RU" w:eastAsia="ru-RU"/>
        </w:rPr>
        <w:drawing>
          <wp:inline distT="0" distB="0" distL="0" distR="0">
            <wp:extent cx="9323254" cy="5953775"/>
            <wp:effectExtent l="19050" t="0" r="11246" b="887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21A2F" w:rsidSect="000B134A">
      <w:pgSz w:w="16838" w:h="11906" w:orient="landscape"/>
      <w:pgMar w:top="170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974CA"/>
    <w:rsid w:val="000B134A"/>
    <w:rsid w:val="002937C5"/>
    <w:rsid w:val="00294317"/>
    <w:rsid w:val="00296EF4"/>
    <w:rsid w:val="002E3E14"/>
    <w:rsid w:val="00302987"/>
    <w:rsid w:val="00471F59"/>
    <w:rsid w:val="004735A3"/>
    <w:rsid w:val="004939B8"/>
    <w:rsid w:val="004974CA"/>
    <w:rsid w:val="004E345C"/>
    <w:rsid w:val="00524412"/>
    <w:rsid w:val="005A423D"/>
    <w:rsid w:val="005B4643"/>
    <w:rsid w:val="00621A2F"/>
    <w:rsid w:val="007819AD"/>
    <w:rsid w:val="008F6EAE"/>
    <w:rsid w:val="009801C6"/>
    <w:rsid w:val="009A1FC4"/>
    <w:rsid w:val="009D32B8"/>
    <w:rsid w:val="00B52F0F"/>
    <w:rsid w:val="00B9462D"/>
    <w:rsid w:val="00BC0A53"/>
    <w:rsid w:val="00C732F0"/>
    <w:rsid w:val="00F071CD"/>
    <w:rsid w:val="00FB3EB2"/>
    <w:rsid w:val="00FD5FD1"/>
    <w:rsid w:val="00FE6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FC4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A1FC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A1F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F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A1FC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9A1FC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9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4CA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54;&#1031;%20&#1044;&#1054;&#1050;&#1059;&#1052;&#1045;&#1053;&#1058;&#1048;\&#1079;&#1074;&#1110;&#1090;%202016\&#1044;&#1110;&#1072;&#1075;&#1088;&#1072;&#1084;&#1072;%20&#1089;&#1090;&#1088;&#1091;&#1082;&#1090;&#1091;&#1088;&#1072;%20&#1076;&#1086;&#1093;&#1086;&#1076;&#1110;&#1074;%202016%20&#1092;&#1072;&#1082;&#109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 sz="1400" b="1" i="1">
                <a:latin typeface="Times New Roman" pitchFamily="18" charset="0"/>
                <a:cs typeface="Times New Roman" pitchFamily="18" charset="0"/>
              </a:defRPr>
            </a:pPr>
            <a:r>
              <a:rPr lang="ru-RU" sz="1400" b="1" i="1">
                <a:latin typeface="Times New Roman" pitchFamily="18" charset="0"/>
                <a:cs typeface="Times New Roman" pitchFamily="18" charset="0"/>
              </a:rPr>
              <a:t>Власні доходи загального фонду бюджету м. Вараш </a:t>
            </a:r>
          </a:p>
          <a:p>
            <a:pPr>
              <a:defRPr sz="1400" b="1" i="1">
                <a:latin typeface="Times New Roman" pitchFamily="18" charset="0"/>
                <a:cs typeface="Times New Roman" pitchFamily="18" charset="0"/>
              </a:defRPr>
            </a:pPr>
            <a:r>
              <a:rPr lang="ru-RU" sz="1400" b="1" i="1">
                <a:latin typeface="Times New Roman" pitchFamily="18" charset="0"/>
                <a:cs typeface="Times New Roman" pitchFamily="18" charset="0"/>
              </a:rPr>
              <a:t>станом на 01.01.2017 року </a:t>
            </a:r>
          </a:p>
        </c:rich>
      </c:tx>
      <c:layout>
        <c:manualLayout>
          <c:xMode val="edge"/>
          <c:yMode val="edge"/>
          <c:x val="0.2296404510488905"/>
          <c:y val="2.300402773223514E-2"/>
        </c:manualLayout>
      </c:layout>
    </c:title>
    <c:plotArea>
      <c:layout>
        <c:manualLayout>
          <c:layoutTarget val="inner"/>
          <c:xMode val="edge"/>
          <c:yMode val="edge"/>
          <c:x val="8.3955189826870197E-2"/>
          <c:y val="0.23560109651563971"/>
          <c:w val="0.77987829396197561"/>
          <c:h val="0.73587391959604864"/>
        </c:manualLayout>
      </c:layout>
      <c:ofPieChart>
        <c:ofPieType val="pie"/>
        <c:varyColors val="1"/>
        <c:ser>
          <c:idx val="1"/>
          <c:order val="1"/>
          <c:explosion val="11"/>
          <c:dLbls>
            <c:dLbl>
              <c:idx val="0"/>
              <c:layout>
                <c:manualLayout>
                  <c:x val="3.0892192299011061E-2"/>
                  <c:y val="2.1753850808526688E-2"/>
                </c:manualLayout>
              </c:layout>
              <c:tx>
                <c:rich>
                  <a:bodyPr/>
                  <a:lstStyle/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Плата за надання інших адміністратративних послуг;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 422,8 тис. 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1"/>
              <c:layout>
                <c:manualLayout>
                  <c:x val="1.5798482147278761E-2"/>
                  <c:y val="0.11894540318600968"/>
                </c:manualLayout>
              </c:layout>
              <c:tx>
                <c:rich>
                  <a:bodyPr/>
                  <a:lstStyle/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Державне мито; 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312,3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2"/>
              <c:layout>
                <c:manualLayout>
                  <c:x val="-7.1873017902598341E-2"/>
                  <c:y val="0.15712831987869674"/>
                </c:manualLayout>
              </c:layout>
              <c:tx>
                <c:rich>
                  <a:bodyPr/>
                  <a:lstStyle/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Акцизний податок; 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8 401,8 тис.грн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endParaRPr lang="ru-RU" sz="700" i="1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3"/>
              <c:layout>
                <c:manualLayout>
                  <c:x val="-0.25719174337085687"/>
                  <c:y val="3.1778275438832222E-2"/>
                </c:manualLayout>
              </c:layout>
              <c:tx>
                <c:rich>
                  <a:bodyPr/>
                  <a:lstStyle/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Частина чистого прибутку (доходу) комунальних унітарних підприємств та їх об'єднань, що вилучається до бюджету; 375,3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4"/>
              <c:layout>
                <c:manualLayout>
                  <c:x val="0.13158148870341191"/>
                  <c:y val="-7.8312242032567314E-2"/>
                </c:manualLayout>
              </c:layout>
              <c:tx>
                <c:rich>
                  <a:bodyPr/>
                  <a:lstStyle/>
                  <a:p>
                    <a:pPr algn="ctr">
                      <a:defRPr sz="10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000" i="1">
                        <a:latin typeface="Times New Roman" pitchFamily="18" charset="0"/>
                        <a:cs typeface="Times New Roman" pitchFamily="18" charset="0"/>
                      </a:rPr>
                      <a:t>Податок на доходи</a:t>
                    </a:r>
                  </a:p>
                  <a:p>
                    <a:pPr algn="ctr">
                      <a:defRPr sz="10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000" i="1">
                        <a:latin typeface="Times New Roman" pitchFamily="18" charset="0"/>
                        <a:cs typeface="Times New Roman" pitchFamily="18" charset="0"/>
                      </a:rPr>
                      <a:t> фізичних осіб; </a:t>
                    </a:r>
                  </a:p>
                  <a:p>
                    <a:pPr algn="ctr">
                      <a:defRPr sz="10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000" i="1">
                        <a:latin typeface="Times New Roman" pitchFamily="18" charset="0"/>
                        <a:cs typeface="Times New Roman" pitchFamily="18" charset="0"/>
                      </a:rPr>
                      <a:t>166 794,8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5"/>
              <c:layout>
                <c:manualLayout>
                  <c:x val="-0.29935934906071582"/>
                  <c:y val="-0.15410638458269643"/>
                </c:manualLayout>
              </c:layout>
              <c:tx>
                <c:rich>
                  <a:bodyPr/>
                  <a:lstStyle/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Адміністративні штрафи та штрафні санкції; 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101,7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6"/>
              <c:layout>
                <c:manualLayout>
                  <c:x val="-0.30020003936855538"/>
                  <c:y val="-4.3600383489348304E-2"/>
                </c:manualLayout>
              </c:layout>
              <c:tx>
                <c:rich>
                  <a:bodyPr/>
                  <a:lstStyle/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Надходження від орендної плати за користування цілісним майновим комплексом та іншим майном, що перебуває в комунальній власності; 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273,8 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7"/>
              <c:layout>
                <c:manualLayout>
                  <c:x val="-0.10989831410927905"/>
                  <c:y val="-0.21160209853764894"/>
                </c:manualLayout>
              </c:layout>
              <c:tx>
                <c:rich>
                  <a:bodyPr/>
                  <a:lstStyle/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Плата за розміщення тимчасово 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вільних коштів місцевих бюджетів; 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3 832,8 тис. 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8"/>
              <c:layout>
                <c:manualLayout>
                  <c:x val="5.7800934098051468E-2"/>
                  <c:y val="-0.18960630508245802"/>
                </c:manualLayout>
              </c:layout>
              <c:tx>
                <c:rich>
                  <a:bodyPr/>
                  <a:lstStyle/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Адм</a:t>
                    </a:r>
                    <a:r>
                      <a:rPr lang="en-US" sz="700" i="1">
                        <a:latin typeface="Times New Roman" pitchFamily="18" charset="0"/>
                        <a:cs typeface="Times New Roman" pitchFamily="18" charset="0"/>
                      </a:rPr>
                      <a:t>i</a:t>
                    </a: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н</a:t>
                    </a:r>
                    <a:r>
                      <a:rPr lang="en-US" sz="700" i="1">
                        <a:latin typeface="Times New Roman" pitchFamily="18" charset="0"/>
                        <a:cs typeface="Times New Roman" pitchFamily="18" charset="0"/>
                      </a:rPr>
                      <a:t>i</a:t>
                    </a: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стративний зб</a:t>
                    </a:r>
                    <a:r>
                      <a:rPr lang="en-US" sz="700" i="1">
                        <a:latin typeface="Times New Roman" pitchFamily="18" charset="0"/>
                        <a:cs typeface="Times New Roman" pitchFamily="18" charset="0"/>
                      </a:rPr>
                      <a:t>i</a:t>
                    </a: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р за державну реєстрац</a:t>
                    </a:r>
                    <a:r>
                      <a:rPr lang="en-US" sz="700" i="1">
                        <a:latin typeface="Times New Roman" pitchFamily="18" charset="0"/>
                        <a:cs typeface="Times New Roman" pitchFamily="18" charset="0"/>
                      </a:rPr>
                      <a:t>i</a:t>
                    </a: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ю речових прав на нерухоме майно та їх обтяжень; 122,4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9"/>
              <c:layout>
                <c:manualLayout>
                  <c:x val="6.0238239076924917E-2"/>
                  <c:y val="-9.0767445097404351E-2"/>
                </c:manualLayout>
              </c:layout>
              <c:tx>
                <c:rich>
                  <a:bodyPr/>
                  <a:lstStyle/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Адм</a:t>
                    </a:r>
                    <a:r>
                      <a:rPr lang="en-US" sz="700" i="1">
                        <a:latin typeface="Times New Roman" pitchFamily="18" charset="0"/>
                        <a:cs typeface="Times New Roman" pitchFamily="18" charset="0"/>
                      </a:rPr>
                      <a:t>i</a:t>
                    </a: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н</a:t>
                    </a:r>
                    <a:r>
                      <a:rPr lang="en-US" sz="700" i="1">
                        <a:latin typeface="Times New Roman" pitchFamily="18" charset="0"/>
                        <a:cs typeface="Times New Roman" pitchFamily="18" charset="0"/>
                      </a:rPr>
                      <a:t>i</a:t>
                    </a: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стративний зб</a:t>
                    </a:r>
                    <a:r>
                      <a:rPr lang="en-US" sz="700" i="1">
                        <a:latin typeface="Times New Roman" pitchFamily="18" charset="0"/>
                        <a:cs typeface="Times New Roman" pitchFamily="18" charset="0"/>
                      </a:rPr>
                      <a:t>i</a:t>
                    </a: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р за проведення державної реєстрац</a:t>
                    </a:r>
                    <a:r>
                      <a:rPr lang="en-US" sz="700" i="1">
                        <a:latin typeface="Times New Roman" pitchFamily="18" charset="0"/>
                        <a:cs typeface="Times New Roman" pitchFamily="18" charset="0"/>
                      </a:rPr>
                      <a:t>i</a:t>
                    </a: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ї юридичних ос</a:t>
                    </a:r>
                    <a:r>
                      <a:rPr lang="en-US" sz="700" i="1">
                        <a:latin typeface="Times New Roman" pitchFamily="18" charset="0"/>
                        <a:cs typeface="Times New Roman" pitchFamily="18" charset="0"/>
                      </a:rPr>
                      <a:t>i</a:t>
                    </a: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б, ф</a:t>
                    </a:r>
                    <a:r>
                      <a:rPr lang="en-US" sz="700" i="1">
                        <a:latin typeface="Times New Roman" pitchFamily="18" charset="0"/>
                        <a:cs typeface="Times New Roman" pitchFamily="18" charset="0"/>
                      </a:rPr>
                      <a:t>i</a:t>
                    </a: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зичних ос</a:t>
                    </a:r>
                    <a:r>
                      <a:rPr lang="en-US" sz="700" i="1">
                        <a:latin typeface="Times New Roman" pitchFamily="18" charset="0"/>
                        <a:cs typeface="Times New Roman" pitchFamily="18" charset="0"/>
                      </a:rPr>
                      <a:t>i</a:t>
                    </a: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б — п</a:t>
                    </a:r>
                    <a:r>
                      <a:rPr lang="en-US" sz="700" i="1">
                        <a:latin typeface="Times New Roman" pitchFamily="18" charset="0"/>
                        <a:cs typeface="Times New Roman" pitchFamily="18" charset="0"/>
                      </a:rPr>
                      <a:t>i</a:t>
                    </a: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дприємц</a:t>
                    </a:r>
                    <a:r>
                      <a:rPr lang="en-US" sz="700" i="1">
                        <a:latin typeface="Times New Roman" pitchFamily="18" charset="0"/>
                        <a:cs typeface="Times New Roman" pitchFamily="18" charset="0"/>
                      </a:rPr>
                      <a:t>i</a:t>
                    </a: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в та громадських формувань; 15,4 тис. 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10"/>
              <c:layout>
                <c:manualLayout>
                  <c:x val="4.0200451333812094E-2"/>
                  <c:y val="-2.7784955465595233E-2"/>
                </c:manualLayout>
              </c:layout>
              <c:tx>
                <c:rich>
                  <a:bodyPr/>
                  <a:lstStyle/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Інші надходження; 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116,0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12"/>
              <c:layout>
                <c:manualLayout>
                  <c:x val="0.13500525992206516"/>
                  <c:y val="-2.899920197543401E-2"/>
                </c:manualLayout>
              </c:layout>
              <c:tx>
                <c:rich>
                  <a:bodyPr/>
                  <a:lstStyle/>
                  <a:p>
                    <a:pPr algn="ctr">
                      <a:defRPr sz="10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000" i="1">
                        <a:latin typeface="Times New Roman" pitchFamily="18" charset="0"/>
                        <a:cs typeface="Times New Roman" pitchFamily="18" charset="0"/>
                      </a:rPr>
                      <a:t>Плата за   землю;</a:t>
                    </a:r>
                  </a:p>
                  <a:p>
                    <a:pPr algn="ctr">
                      <a:defRPr sz="10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000" i="1">
                        <a:latin typeface="Times New Roman" pitchFamily="18" charset="0"/>
                        <a:cs typeface="Times New Roman" pitchFamily="18" charset="0"/>
                      </a:rPr>
                      <a:t> 41 423,8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13"/>
              <c:layout>
                <c:manualLayout>
                  <c:x val="1.4277073873243321E-2"/>
                  <c:y val="-0.10211563197535672"/>
                </c:manualLayout>
              </c:layout>
              <c:tx>
                <c:rich>
                  <a:bodyPr/>
                  <a:lstStyle/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Податок на нерухоме майно, 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відмінне від земельної ділянки; 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2 929,9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14"/>
              <c:layout>
                <c:manualLayout>
                  <c:x val="1.8393022680662178E-2"/>
                  <c:y val="-4.6209914414157456E-2"/>
                </c:manualLayout>
              </c:layout>
              <c:tx>
                <c:rich>
                  <a:bodyPr/>
                  <a:lstStyle/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Транспортний 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податок; 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100,0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15"/>
              <c:layout>
                <c:manualLayout>
                  <c:x val="2.3503363992577204E-2"/>
                  <c:y val="2.5474991305243971E-2"/>
                </c:manualLayout>
              </c:layout>
              <c:tx>
                <c:rich>
                  <a:bodyPr/>
                  <a:lstStyle/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Туристичний 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податок; 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4,4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16"/>
              <c:layout>
                <c:manualLayout>
                  <c:x val="2.7833067925783307E-2"/>
                  <c:y val="4.8090172578478967E-2"/>
                </c:manualLayout>
              </c:layout>
              <c:tx>
                <c:rich>
                  <a:bodyPr/>
                  <a:lstStyle/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Єдиний податок; </a:t>
                    </a:r>
                  </a:p>
                  <a:p>
                    <a:pPr algn="ctr"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6 838,4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dLbl>
              <c:idx val="17"/>
              <c:layout>
                <c:manualLayout>
                  <c:x val="-0.12300065782500509"/>
                  <c:y val="-5.3878045234813663E-3"/>
                </c:manualLayout>
              </c:layout>
              <c:tx>
                <c:rich>
                  <a:bodyPr/>
                  <a:lstStyle/>
                  <a:p>
                    <a:pPr algn="ctr">
                      <a:defRPr sz="8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00" i="1">
                        <a:latin typeface="Times New Roman" pitchFamily="18" charset="0"/>
                        <a:cs typeface="Times New Roman" pitchFamily="18" charset="0"/>
                      </a:rPr>
                      <a:t>Місцеві</a:t>
                    </a:r>
                    <a:r>
                      <a:rPr lang="ru-RU" sz="800" i="1" baseline="0">
                        <a:latin typeface="Times New Roman" pitchFamily="18" charset="0"/>
                        <a:cs typeface="Times New Roman" pitchFamily="18" charset="0"/>
                      </a:rPr>
                      <a:t> податки і</a:t>
                    </a:r>
                  </a:p>
                  <a:p>
                    <a:pPr algn="ctr">
                      <a:defRPr sz="8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00" i="1" baseline="0">
                        <a:latin typeface="Times New Roman" pitchFamily="18" charset="0"/>
                        <a:cs typeface="Times New Roman" pitchFamily="18" charset="0"/>
                      </a:rPr>
                      <a:t> збори</a:t>
                    </a:r>
                    <a:r>
                      <a:rPr lang="ru-RU" sz="800" i="1">
                        <a:latin typeface="Times New Roman" pitchFamily="18" charset="0"/>
                        <a:cs typeface="Times New Roman" pitchFamily="18" charset="0"/>
                      </a:rPr>
                      <a:t>;</a:t>
                    </a:r>
                  </a:p>
                  <a:p>
                    <a:pPr algn="ctr">
                      <a:defRPr sz="8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00" i="1">
                        <a:latin typeface="Times New Roman" pitchFamily="18" charset="0"/>
                        <a:cs typeface="Times New Roman" pitchFamily="18" charset="0"/>
                      </a:rPr>
                      <a:t> 51 296,5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rgbClr val="4F81BD">
                          <a:tint val="66000"/>
                          <a:satMod val="160000"/>
                          <a:alpha val="99000"/>
                        </a:srgb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</a:ln>
              </c:spPr>
              <c:showVal val="1"/>
              <c:showCatName val="1"/>
            </c:dLbl>
            <c:spPr>
              <a:ln>
                <a:gradFill>
                  <a:gsLst>
                    <a:gs pos="0">
                      <a:srgbClr val="4F81BD">
                        <a:tint val="66000"/>
                        <a:satMod val="160000"/>
                        <a:alpha val="99000"/>
                      </a:srgbClr>
                    </a:gs>
                    <a:gs pos="50000">
                      <a:srgbClr val="4F81BD">
                        <a:tint val="44500"/>
                        <a:satMod val="160000"/>
                      </a:srgbClr>
                    </a:gs>
                    <a:gs pos="100000">
                      <a:srgbClr val="4F81BD">
                        <a:tint val="23500"/>
                        <a:satMod val="160000"/>
                      </a:srgbClr>
                    </a:gs>
                  </a:gsLst>
                  <a:lin ang="5400000" scaled="0"/>
                </a:gradFill>
              </a:ln>
            </c:spPr>
            <c:txPr>
              <a:bodyPr/>
              <a:lstStyle/>
              <a:p>
                <a:pPr algn="ctr">
                  <a:defRPr sz="600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CatName val="1"/>
          </c:dLbls>
          <c:cat>
            <c:strRef>
              <c:f>'Лист1 (2)'!$C$7:$C$23</c:f>
              <c:strCache>
                <c:ptCount val="17"/>
                <c:pt idx="0">
                  <c:v>Плата за надання інших адміністратративних послуг</c:v>
                </c:pt>
                <c:pt idx="1">
                  <c:v>Державне мито </c:v>
                </c:pt>
                <c:pt idx="2">
                  <c:v>Акцизний податок</c:v>
                </c:pt>
                <c:pt idx="3">
                  <c:v>Частина чистого прибутку (доходу) комунальних унітарних підприємств та їх об'єднань, що вилучається до бюджету </c:v>
                </c:pt>
                <c:pt idx="4">
                  <c:v>Податок на доходи фізичних осіб   </c:v>
                </c:pt>
                <c:pt idx="5">
                  <c:v>Адміністративні штрафи та штрафні санкції</c:v>
                </c:pt>
                <c:pt idx="6">
                  <c:v>Надходження від орендної плати за користування цілісним майновим комплексом та іншим майном, що перебуває в комунальній власності     </c:v>
                </c:pt>
                <c:pt idx="7">
                  <c:v>Плата за розміщення тимчасово вільних коштів місцевих бюджетів</c:v>
                </c:pt>
                <c:pt idx="8">
                  <c:v>Адмiнiстративний збiр за державну реєстрацiю речових прав на нерухоме майно та їх обтяжень</c:v>
                </c:pt>
                <c:pt idx="9">
                  <c:v>Адмiнiстративний збiр за проведення державної реєстрацiї юридичних осiб, фiзичних осiб — пiдприємцiв та громадських формувань</c:v>
                </c:pt>
                <c:pt idx="10">
                  <c:v>Інші надходження</c:v>
                </c:pt>
                <c:pt idx="12">
                  <c:v>Плата за землю</c:v>
                </c:pt>
                <c:pt idx="13">
                  <c:v>Податок на нерухоме майно, відмінне від земельної ділянки</c:v>
                </c:pt>
                <c:pt idx="14">
                  <c:v>Транспортний податок</c:v>
                </c:pt>
                <c:pt idx="15">
                  <c:v>Туристичний податок</c:v>
                </c:pt>
                <c:pt idx="16">
                  <c:v>Єдиний податок</c:v>
                </c:pt>
              </c:strCache>
            </c:strRef>
          </c:cat>
          <c:val>
            <c:numRef>
              <c:f>'Лист1 (2)'!$E$7:$E$23</c:f>
              <c:numCache>
                <c:formatCode>#,##0.0</c:formatCode>
                <c:ptCount val="17"/>
                <c:pt idx="0">
                  <c:v>422.8</c:v>
                </c:pt>
                <c:pt idx="1">
                  <c:v>312.3</c:v>
                </c:pt>
                <c:pt idx="2">
                  <c:v>8401.7999999999811</c:v>
                </c:pt>
                <c:pt idx="3">
                  <c:v>375.3</c:v>
                </c:pt>
                <c:pt idx="4">
                  <c:v>166794.79999999999</c:v>
                </c:pt>
                <c:pt idx="5">
                  <c:v>101.7</c:v>
                </c:pt>
                <c:pt idx="6">
                  <c:v>273.8</c:v>
                </c:pt>
                <c:pt idx="7">
                  <c:v>3832.8</c:v>
                </c:pt>
                <c:pt idx="8">
                  <c:v>122.4</c:v>
                </c:pt>
                <c:pt idx="9">
                  <c:v>15.4</c:v>
                </c:pt>
                <c:pt idx="10">
                  <c:v>116</c:v>
                </c:pt>
                <c:pt idx="12">
                  <c:v>41423.800000000003</c:v>
                </c:pt>
                <c:pt idx="13">
                  <c:v>2929.9</c:v>
                </c:pt>
                <c:pt idx="14">
                  <c:v>100</c:v>
                </c:pt>
                <c:pt idx="15">
                  <c:v>4.4000000000000004</c:v>
                </c:pt>
                <c:pt idx="16">
                  <c:v>6838.4</c:v>
                </c:pt>
              </c:numCache>
            </c:numRef>
          </c:val>
        </c:ser>
        <c:ser>
          <c:idx val="0"/>
          <c:order val="0"/>
          <c:dLbls>
            <c:showVal val="1"/>
          </c:dLbls>
          <c:cat>
            <c:strRef>
              <c:f>'Лист1 (2)'!$C$7:$C$23</c:f>
              <c:strCache>
                <c:ptCount val="17"/>
                <c:pt idx="0">
                  <c:v>Плата за надання інших адміністратративних послуг</c:v>
                </c:pt>
                <c:pt idx="1">
                  <c:v>Державне мито </c:v>
                </c:pt>
                <c:pt idx="2">
                  <c:v>Акцизний податок</c:v>
                </c:pt>
                <c:pt idx="3">
                  <c:v>Частина чистого прибутку (доходу) комунальних унітарних підприємств та їх об'єднань, що вилучається до бюджету </c:v>
                </c:pt>
                <c:pt idx="4">
                  <c:v>Податок на доходи фізичних осіб   </c:v>
                </c:pt>
                <c:pt idx="5">
                  <c:v>Адміністративні штрафи та штрафні санкції</c:v>
                </c:pt>
                <c:pt idx="6">
                  <c:v>Надходження від орендної плати за користування цілісним майновим комплексом та іншим майном, що перебуває в комунальній власності     </c:v>
                </c:pt>
                <c:pt idx="7">
                  <c:v>Плата за розміщення тимчасово вільних коштів місцевих бюджетів</c:v>
                </c:pt>
                <c:pt idx="8">
                  <c:v>Адмiнiстративний збiр за державну реєстрацiю речових прав на нерухоме майно та їх обтяжень</c:v>
                </c:pt>
                <c:pt idx="9">
                  <c:v>Адмiнiстративний збiр за проведення державної реєстрацiї юридичних осiб, фiзичних осiб — пiдприємцiв та громадських формувань</c:v>
                </c:pt>
                <c:pt idx="10">
                  <c:v>Інші надходження</c:v>
                </c:pt>
                <c:pt idx="12">
                  <c:v>Плата за землю</c:v>
                </c:pt>
                <c:pt idx="13">
                  <c:v>Податок на нерухоме майно, відмінне від земельної ділянки</c:v>
                </c:pt>
                <c:pt idx="14">
                  <c:v>Транспортний податок</c:v>
                </c:pt>
                <c:pt idx="15">
                  <c:v>Туристичний податок</c:v>
                </c:pt>
                <c:pt idx="16">
                  <c:v>Єдиний податок</c:v>
                </c:pt>
              </c:strCache>
            </c:strRef>
          </c:cat>
          <c:val>
            <c:numRef>
              <c:f>'Лист1 (2)'!$D$7:$D$23</c:f>
            </c:numRef>
          </c:val>
        </c:ser>
        <c:dLbls>
          <c:showVal val="1"/>
        </c:dLbls>
        <c:gapWidth val="100"/>
        <c:secondPieSize val="75"/>
        <c:serLines/>
      </c:ofPieChart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DohLuda</dc:creator>
  <cp:lastModifiedBy>BEST</cp:lastModifiedBy>
  <cp:revision>7</cp:revision>
  <cp:lastPrinted>2017-09-20T07:03:00Z</cp:lastPrinted>
  <dcterms:created xsi:type="dcterms:W3CDTF">2017-09-19T08:36:00Z</dcterms:created>
  <dcterms:modified xsi:type="dcterms:W3CDTF">2017-09-21T12:32:00Z</dcterms:modified>
</cp:coreProperties>
</file>